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bookmarkStart w:id="0" w:name="_GoBack"/>
            <w:bookmarkEnd w:id="0"/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FD35D3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1" w:name="PCAdato"/>
            <w:bookmarkStart w:id="2" w:name="pDokDato"/>
            <w:bookmarkEnd w:id="1"/>
            <w:r>
              <w:rPr>
                <w:sz w:val="16"/>
              </w:rPr>
              <w:t>14</w:t>
            </w:r>
            <w:r w:rsidR="00124DF6">
              <w:rPr>
                <w:sz w:val="16"/>
              </w:rPr>
              <w:t xml:space="preserve">. </w:t>
            </w:r>
            <w:r w:rsidR="004F5330">
              <w:rPr>
                <w:sz w:val="16"/>
              </w:rPr>
              <w:t>j</w:t>
            </w:r>
            <w:r w:rsidR="000F2BC2">
              <w:rPr>
                <w:sz w:val="16"/>
              </w:rPr>
              <w:t>anuar</w:t>
            </w:r>
            <w:r w:rsidR="00AA0507">
              <w:rPr>
                <w:sz w:val="16"/>
              </w:rPr>
              <w:t xml:space="preserve"> </w:t>
            </w:r>
            <w:r w:rsidR="00AD18DB">
              <w:rPr>
                <w:sz w:val="16"/>
              </w:rPr>
              <w:t>201</w:t>
            </w:r>
            <w:bookmarkEnd w:id="2"/>
            <w:r w:rsidR="000F2BC2">
              <w:rPr>
                <w:sz w:val="16"/>
              </w:rPr>
              <w:t>4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Kontor"/>
            <w:bookmarkEnd w:id="3"/>
          </w:p>
          <w:p w:rsidR="00C5465E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sz w:val="16"/>
              </w:rPr>
              <w:t>J.nr.</w:t>
            </w:r>
            <w:bookmarkStart w:id="4" w:name="PCASag"/>
            <w:bookmarkEnd w:id="4"/>
            <w:r w:rsidR="00CE1919">
              <w:rPr>
                <w:sz w:val="16"/>
              </w:rPr>
              <w:t>6252-0</w:t>
            </w:r>
            <w:r w:rsidR="00124DF6">
              <w:rPr>
                <w:sz w:val="16"/>
              </w:rPr>
              <w:t>1</w:t>
            </w:r>
            <w:r w:rsidR="000F2BC2">
              <w:rPr>
                <w:sz w:val="16"/>
              </w:rPr>
              <w:t>66</w:t>
            </w:r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5" w:name="PCAmodtager"/>
            <w:bookmarkEnd w:id="5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163A8D" w:rsidRDefault="00AD18DB" w:rsidP="00907B69">
      <w:pPr>
        <w:pStyle w:val="Overskrift1"/>
      </w:pPr>
      <w:bookmarkStart w:id="6" w:name="PCAoverskrift"/>
      <w:bookmarkStart w:id="7" w:name="PEmne"/>
      <w:bookmarkEnd w:id="6"/>
      <w:r>
        <w:t xml:space="preserve">Redegørelse om inspektion i </w:t>
      </w:r>
      <w:bookmarkEnd w:id="7"/>
      <w:r w:rsidR="000F2BC2">
        <w:t>Rønde Spareka</w:t>
      </w:r>
      <w:r w:rsidR="000F2BC2">
        <w:t>s</w:t>
      </w:r>
      <w:r w:rsidR="000F2BC2">
        <w:t>se</w:t>
      </w:r>
    </w:p>
    <w:p w:rsidR="00CE1919" w:rsidRPr="00CE1919" w:rsidRDefault="00CE1919" w:rsidP="00CE1919">
      <w:pPr>
        <w:pStyle w:val="Overskrift2"/>
      </w:pPr>
      <w:r w:rsidRPr="00CE1919">
        <w:rPr>
          <w:bCs w:val="0"/>
        </w:rPr>
        <w:t>1.</w:t>
      </w:r>
      <w:r>
        <w:t xml:space="preserve"> Indledning</w:t>
      </w:r>
    </w:p>
    <w:p w:rsidR="00163A8D" w:rsidRDefault="00CE1919">
      <w:pPr>
        <w:pStyle w:val="Brdtekst"/>
      </w:pPr>
      <w:r>
        <w:t xml:space="preserve">Finanstilsynet var i </w:t>
      </w:r>
      <w:r w:rsidR="000F2BC2">
        <w:t>december</w:t>
      </w:r>
      <w:r w:rsidR="00124DF6">
        <w:t xml:space="preserve"> 2013</w:t>
      </w:r>
      <w:r>
        <w:t xml:space="preserve"> på inspektion i </w:t>
      </w:r>
      <w:r w:rsidR="000F2BC2">
        <w:t>Rønde Sparekasse</w:t>
      </w:r>
      <w:r>
        <w:t>.</w:t>
      </w:r>
    </w:p>
    <w:p w:rsidR="00CE1919" w:rsidRDefault="00CE1919">
      <w:pPr>
        <w:pStyle w:val="Brdtekst"/>
      </w:pPr>
    </w:p>
    <w:p w:rsidR="00CE1919" w:rsidRDefault="00CE1919">
      <w:pPr>
        <w:pStyle w:val="Brdtekst"/>
      </w:pPr>
      <w:r>
        <w:t xml:space="preserve">Undersøgelsen var en fuld undersøgelse, hvor alle væsentlige områder i </w:t>
      </w:r>
      <w:r w:rsidR="000F2BC2">
        <w:t>spare</w:t>
      </w:r>
      <w:r w:rsidR="000467E2">
        <w:t>kassen</w:t>
      </w:r>
      <w:r>
        <w:t xml:space="preserve"> blev undersøgt.</w:t>
      </w:r>
    </w:p>
    <w:p w:rsidR="00CE1919" w:rsidRDefault="00CE1919" w:rsidP="00CE1919">
      <w:pPr>
        <w:pStyle w:val="Overskrift2"/>
      </w:pPr>
      <w:r>
        <w:t>2. Sammenfatning og risikovurdering</w:t>
      </w:r>
    </w:p>
    <w:p w:rsidR="00CE0BD7" w:rsidRPr="00CE0BD7" w:rsidRDefault="00CE0BD7" w:rsidP="00CE0BD7">
      <w:pPr>
        <w:rPr>
          <w:szCs w:val="24"/>
        </w:rPr>
      </w:pPr>
      <w:bookmarkStart w:id="8" w:name="PCAStart"/>
      <w:bookmarkEnd w:id="8"/>
      <w:r w:rsidRPr="00CE0BD7">
        <w:rPr>
          <w:szCs w:val="24"/>
        </w:rPr>
        <w:t>Rønde Sparekasses forretningsmodel er primært at udøve traditionel peng</w:t>
      </w:r>
      <w:r w:rsidRPr="00CE0BD7">
        <w:rPr>
          <w:szCs w:val="24"/>
        </w:rPr>
        <w:t>e</w:t>
      </w:r>
      <w:r w:rsidRPr="00CE0BD7">
        <w:rPr>
          <w:szCs w:val="24"/>
        </w:rPr>
        <w:t>institutvirksomhed med almindelige indlåns- og udlånsprodukter. Spareka</w:t>
      </w:r>
      <w:r w:rsidRPr="00CE0BD7">
        <w:rPr>
          <w:szCs w:val="24"/>
        </w:rPr>
        <w:t>s</w:t>
      </w:r>
      <w:r w:rsidRPr="00CE0BD7">
        <w:rPr>
          <w:szCs w:val="24"/>
        </w:rPr>
        <w:t>sens kunder er hovedsageligt privatkunder samt mindre erhvervsdrivende. Det primære forretningsområde er Djursland. I kraft af bl</w:t>
      </w:r>
      <w:r w:rsidR="007A65C3">
        <w:rPr>
          <w:szCs w:val="24"/>
        </w:rPr>
        <w:t>andt andet</w:t>
      </w:r>
      <w:r w:rsidRPr="00CE0BD7">
        <w:rPr>
          <w:szCs w:val="24"/>
        </w:rPr>
        <w:t xml:space="preserve"> </w:t>
      </w:r>
      <w:r w:rsidR="00BB3590">
        <w:rPr>
          <w:szCs w:val="24"/>
        </w:rPr>
        <w:t>spar</w:t>
      </w:r>
      <w:r w:rsidR="00BB3590">
        <w:rPr>
          <w:szCs w:val="24"/>
        </w:rPr>
        <w:t>e</w:t>
      </w:r>
      <w:r w:rsidR="00BB3590">
        <w:rPr>
          <w:szCs w:val="24"/>
        </w:rPr>
        <w:t>kassens overtagelse af</w:t>
      </w:r>
      <w:r w:rsidRPr="00CE0BD7">
        <w:rPr>
          <w:szCs w:val="24"/>
        </w:rPr>
        <w:t xml:space="preserve"> Helgenæs Sparekasse i 2012, hvorved spareka</w:t>
      </w:r>
      <w:r w:rsidRPr="00CE0BD7">
        <w:rPr>
          <w:szCs w:val="24"/>
        </w:rPr>
        <w:t>s</w:t>
      </w:r>
      <w:r w:rsidRPr="00CE0BD7">
        <w:rPr>
          <w:szCs w:val="24"/>
        </w:rPr>
        <w:t>sens udlån voksede med næsten 50 pct., har sparekassen dog efterhånden opnået en ikke uvæsentlig eksponering uden for det primære forretningso</w:t>
      </w:r>
      <w:r w:rsidRPr="00CE0BD7">
        <w:rPr>
          <w:szCs w:val="24"/>
        </w:rPr>
        <w:t>m</w:t>
      </w:r>
      <w:r w:rsidRPr="00CE0BD7">
        <w:rPr>
          <w:szCs w:val="24"/>
        </w:rPr>
        <w:t>råde på ca. 30 pct. af det samlede udlån.</w:t>
      </w:r>
    </w:p>
    <w:p w:rsidR="00961638" w:rsidRPr="00961638" w:rsidRDefault="00961638" w:rsidP="00961638">
      <w:pPr>
        <w:rPr>
          <w:szCs w:val="24"/>
        </w:rPr>
      </w:pPr>
    </w:p>
    <w:p w:rsidR="00961638" w:rsidRPr="00961638" w:rsidRDefault="00961638" w:rsidP="00961638">
      <w:pPr>
        <w:rPr>
          <w:szCs w:val="24"/>
        </w:rPr>
      </w:pPr>
      <w:r w:rsidRPr="00961638">
        <w:rPr>
          <w:szCs w:val="24"/>
        </w:rPr>
        <w:t xml:space="preserve">Sparekassens udlån til private udgør ca. 61 pct. af </w:t>
      </w:r>
      <w:r w:rsidR="00F23F30">
        <w:rPr>
          <w:szCs w:val="24"/>
        </w:rPr>
        <w:t>de</w:t>
      </w:r>
      <w:r w:rsidRPr="00961638">
        <w:rPr>
          <w:szCs w:val="24"/>
        </w:rPr>
        <w:t xml:space="preserve"> samlede udlån og g</w:t>
      </w:r>
      <w:r w:rsidRPr="00961638">
        <w:rPr>
          <w:szCs w:val="24"/>
        </w:rPr>
        <w:t>a</w:t>
      </w:r>
      <w:r w:rsidRPr="00961638">
        <w:rPr>
          <w:szCs w:val="24"/>
        </w:rPr>
        <w:t xml:space="preserve">rantier, mens udlån til erhverv udgør ca. 39 pct. Handel er med ca. 9 pct. af udlånsmassen sparekassens største branche. </w:t>
      </w:r>
    </w:p>
    <w:p w:rsidR="004C633B" w:rsidRPr="008907D3" w:rsidRDefault="004C633B" w:rsidP="008907D3">
      <w:pPr>
        <w:rPr>
          <w:szCs w:val="24"/>
        </w:rPr>
      </w:pPr>
    </w:p>
    <w:p w:rsidR="00D20C3F" w:rsidRPr="00D20C3F" w:rsidRDefault="00D20C3F" w:rsidP="00D20C3F">
      <w:pPr>
        <w:rPr>
          <w:szCs w:val="24"/>
        </w:rPr>
      </w:pPr>
      <w:r w:rsidRPr="00D20C3F">
        <w:rPr>
          <w:szCs w:val="24"/>
        </w:rPr>
        <w:t>Finanstilsynet gennemgik på undersøgelsen alle engagementer over 2 pct. af sparekassens basiskapital, i alt 53 engagementer, svarende til ca. 39 pct. af de samlede udlån. Derudover gennemgik Finanstilsynet alle engageme</w:t>
      </w:r>
      <w:r w:rsidRPr="00D20C3F">
        <w:rPr>
          <w:szCs w:val="24"/>
        </w:rPr>
        <w:t>n</w:t>
      </w:r>
      <w:r w:rsidRPr="00D20C3F">
        <w:rPr>
          <w:szCs w:val="24"/>
        </w:rPr>
        <w:t>ter med direktionen og bestyrelsen. Blandt de 53 største engagementer var der svaghedstegn i 30 engagementer, svarende til 54 pct. målt på volumen, samt objektiv indikation for værdiforringelse (OIV) i 10 engagementer, sv</w:t>
      </w:r>
      <w:r w:rsidRPr="00D20C3F">
        <w:rPr>
          <w:szCs w:val="24"/>
        </w:rPr>
        <w:t>a</w:t>
      </w:r>
      <w:r w:rsidRPr="00D20C3F">
        <w:rPr>
          <w:szCs w:val="24"/>
        </w:rPr>
        <w:t xml:space="preserve">rende til 23 pct. målt på volumen. </w:t>
      </w:r>
    </w:p>
    <w:p w:rsidR="00D20C3F" w:rsidRPr="00D20C3F" w:rsidRDefault="00D20C3F" w:rsidP="00D20C3F">
      <w:pPr>
        <w:rPr>
          <w:szCs w:val="24"/>
        </w:rPr>
      </w:pPr>
    </w:p>
    <w:p w:rsidR="00D20C3F" w:rsidRPr="00D20C3F" w:rsidRDefault="00D20C3F" w:rsidP="00D20C3F">
      <w:pPr>
        <w:rPr>
          <w:szCs w:val="24"/>
        </w:rPr>
      </w:pPr>
      <w:r w:rsidRPr="00D20C3F">
        <w:rPr>
          <w:szCs w:val="24"/>
        </w:rPr>
        <w:t>Finanstilsynet vurderer på baggrund af gennemgangen af de største eng</w:t>
      </w:r>
      <w:r w:rsidRPr="00D20C3F">
        <w:rPr>
          <w:szCs w:val="24"/>
        </w:rPr>
        <w:t>a</w:t>
      </w:r>
      <w:r w:rsidRPr="00D20C3F">
        <w:rPr>
          <w:szCs w:val="24"/>
        </w:rPr>
        <w:t>gementer, at sparekassens andel af engagementer med svaghedstegn samt engagementer med OIV er højere end i sammenlignelige institutter. Dette afspejles også i sparekassens relativt høje solvensbehov.</w:t>
      </w:r>
    </w:p>
    <w:p w:rsidR="004C633B" w:rsidRPr="004C633B" w:rsidRDefault="004C633B" w:rsidP="004C633B">
      <w:pPr>
        <w:rPr>
          <w:szCs w:val="24"/>
        </w:rPr>
      </w:pPr>
    </w:p>
    <w:p w:rsidR="004C633B" w:rsidRPr="004C633B" w:rsidRDefault="004C633B" w:rsidP="004C633B">
      <w:pPr>
        <w:rPr>
          <w:szCs w:val="24"/>
        </w:rPr>
      </w:pPr>
      <w:r w:rsidRPr="004C633B">
        <w:rPr>
          <w:szCs w:val="24"/>
        </w:rPr>
        <w:t xml:space="preserve">Finanstilsynet var </w:t>
      </w:r>
      <w:r w:rsidR="004F52E4" w:rsidRPr="004F52E4">
        <w:rPr>
          <w:szCs w:val="24"/>
        </w:rPr>
        <w:t xml:space="preserve">dog </w:t>
      </w:r>
      <w:r w:rsidRPr="004C633B">
        <w:rPr>
          <w:szCs w:val="24"/>
        </w:rPr>
        <w:t xml:space="preserve">generelt </w:t>
      </w:r>
      <w:proofErr w:type="gramStart"/>
      <w:r w:rsidRPr="004C633B">
        <w:rPr>
          <w:szCs w:val="24"/>
        </w:rPr>
        <w:t>enig</w:t>
      </w:r>
      <w:proofErr w:type="gramEnd"/>
      <w:r w:rsidRPr="004C633B">
        <w:rPr>
          <w:szCs w:val="24"/>
        </w:rPr>
        <w:t xml:space="preserve"> i sparekassens vurdering</w:t>
      </w:r>
      <w:r w:rsidR="00F23F30">
        <w:rPr>
          <w:szCs w:val="24"/>
        </w:rPr>
        <w:t>er</w:t>
      </w:r>
      <w:r w:rsidRPr="004C633B">
        <w:rPr>
          <w:szCs w:val="24"/>
        </w:rPr>
        <w:t xml:space="preserve"> af boniteten og nedskrivningsbehovet på de gennemgåede engage</w:t>
      </w:r>
      <w:r w:rsidR="00961638">
        <w:rPr>
          <w:szCs w:val="24"/>
        </w:rPr>
        <w:t>menter</w:t>
      </w:r>
      <w:r w:rsidRPr="004C633B">
        <w:rPr>
          <w:szCs w:val="24"/>
        </w:rPr>
        <w:t>. Finanstils</w:t>
      </w:r>
      <w:r w:rsidRPr="004C633B">
        <w:rPr>
          <w:szCs w:val="24"/>
        </w:rPr>
        <w:t>y</w:t>
      </w:r>
      <w:r w:rsidRPr="004C633B">
        <w:rPr>
          <w:szCs w:val="24"/>
        </w:rPr>
        <w:t xml:space="preserve">net fandt i alt yderligere nedskrivninger for </w:t>
      </w:r>
      <w:r w:rsidR="00BF0250">
        <w:rPr>
          <w:szCs w:val="24"/>
        </w:rPr>
        <w:t>ca. ½ mio.</w:t>
      </w:r>
      <w:r w:rsidR="00F23F30">
        <w:rPr>
          <w:szCs w:val="24"/>
        </w:rPr>
        <w:t xml:space="preserve"> </w:t>
      </w:r>
      <w:r w:rsidRPr="004C633B">
        <w:rPr>
          <w:szCs w:val="24"/>
        </w:rPr>
        <w:t>kr. i de gennemgåede engagementer.</w:t>
      </w:r>
    </w:p>
    <w:p w:rsidR="008907D3" w:rsidRDefault="008907D3" w:rsidP="008907D3">
      <w:pPr>
        <w:rPr>
          <w:szCs w:val="24"/>
        </w:rPr>
      </w:pPr>
    </w:p>
    <w:p w:rsidR="00DB0E20" w:rsidRPr="00DB0E20" w:rsidRDefault="00DB0E20" w:rsidP="00DB0E20">
      <w:pPr>
        <w:rPr>
          <w:szCs w:val="24"/>
        </w:rPr>
      </w:pPr>
      <w:r w:rsidRPr="00DB0E20">
        <w:rPr>
          <w:szCs w:val="24"/>
        </w:rPr>
        <w:t xml:space="preserve">Finanstilsynet </w:t>
      </w:r>
      <w:r w:rsidR="00C96853">
        <w:rPr>
          <w:szCs w:val="24"/>
        </w:rPr>
        <w:t xml:space="preserve">foretog endvidere en </w:t>
      </w:r>
      <w:r w:rsidRPr="00DB0E20">
        <w:rPr>
          <w:szCs w:val="24"/>
        </w:rPr>
        <w:t xml:space="preserve">vurdering af værdien af sparekassens ejendomme, </w:t>
      </w:r>
      <w:r w:rsidR="00C96853">
        <w:rPr>
          <w:szCs w:val="24"/>
        </w:rPr>
        <w:t xml:space="preserve">og på den baggrund </w:t>
      </w:r>
      <w:r w:rsidR="0068044C">
        <w:rPr>
          <w:szCs w:val="24"/>
        </w:rPr>
        <w:t xml:space="preserve">modtog </w:t>
      </w:r>
      <w:r w:rsidRPr="00DB0E20">
        <w:rPr>
          <w:szCs w:val="24"/>
        </w:rPr>
        <w:t>sparekassen et påbud om at ne</w:t>
      </w:r>
      <w:r w:rsidRPr="00DB0E20">
        <w:rPr>
          <w:szCs w:val="24"/>
        </w:rPr>
        <w:t>d</w:t>
      </w:r>
      <w:r w:rsidRPr="00DB0E20">
        <w:rPr>
          <w:szCs w:val="24"/>
        </w:rPr>
        <w:t>skrive den bogførte værdi på to af sparekassens ejendomme, herunder sp</w:t>
      </w:r>
      <w:r w:rsidRPr="00DB0E20">
        <w:rPr>
          <w:szCs w:val="24"/>
        </w:rPr>
        <w:t>a</w:t>
      </w:r>
      <w:r w:rsidRPr="00DB0E20">
        <w:rPr>
          <w:szCs w:val="24"/>
        </w:rPr>
        <w:t xml:space="preserve">rekassens domicilejendom, med i alt </w:t>
      </w:r>
      <w:r w:rsidR="00F23F30">
        <w:rPr>
          <w:szCs w:val="24"/>
        </w:rPr>
        <w:t>ca. 1,8 mio</w:t>
      </w:r>
      <w:r w:rsidR="00A07D01">
        <w:rPr>
          <w:szCs w:val="24"/>
        </w:rPr>
        <w:t>.</w:t>
      </w:r>
      <w:r w:rsidR="00F23F30">
        <w:rPr>
          <w:szCs w:val="24"/>
        </w:rPr>
        <w:t xml:space="preserve"> </w:t>
      </w:r>
      <w:r w:rsidRPr="00DB0E20">
        <w:rPr>
          <w:szCs w:val="24"/>
        </w:rPr>
        <w:t>kr.</w:t>
      </w:r>
    </w:p>
    <w:p w:rsidR="000D79BC" w:rsidRDefault="000D79BC" w:rsidP="008907D3">
      <w:pPr>
        <w:rPr>
          <w:szCs w:val="24"/>
        </w:rPr>
      </w:pPr>
    </w:p>
    <w:p w:rsidR="0068044C" w:rsidRPr="00DB0E20" w:rsidRDefault="0068044C" w:rsidP="0068044C">
      <w:pPr>
        <w:rPr>
          <w:szCs w:val="24"/>
        </w:rPr>
      </w:pPr>
      <w:r w:rsidRPr="00DB0E20">
        <w:rPr>
          <w:szCs w:val="24"/>
        </w:rPr>
        <w:t xml:space="preserve">Sparekassen </w:t>
      </w:r>
      <w:r w:rsidRPr="0068044C">
        <w:rPr>
          <w:szCs w:val="24"/>
        </w:rPr>
        <w:t xml:space="preserve">modtog </w:t>
      </w:r>
      <w:r>
        <w:rPr>
          <w:szCs w:val="24"/>
        </w:rPr>
        <w:t>h</w:t>
      </w:r>
      <w:r w:rsidRPr="0068044C">
        <w:rPr>
          <w:szCs w:val="24"/>
        </w:rPr>
        <w:t xml:space="preserve">erudover </w:t>
      </w:r>
      <w:r w:rsidRPr="003C7790">
        <w:rPr>
          <w:szCs w:val="24"/>
        </w:rPr>
        <w:t>enkelte påbud på ledelsesområdet</w:t>
      </w:r>
      <w:r>
        <w:rPr>
          <w:szCs w:val="24"/>
        </w:rPr>
        <w:t>, heru</w:t>
      </w:r>
      <w:r>
        <w:rPr>
          <w:szCs w:val="24"/>
        </w:rPr>
        <w:t>n</w:t>
      </w:r>
      <w:r>
        <w:rPr>
          <w:szCs w:val="24"/>
        </w:rPr>
        <w:t xml:space="preserve">der </w:t>
      </w:r>
      <w:r w:rsidRPr="00DB0E20">
        <w:rPr>
          <w:szCs w:val="24"/>
        </w:rPr>
        <w:t>påbud om at sikre, at bestyrelsens forhandlingsprotokol afspejler best</w:t>
      </w:r>
      <w:r w:rsidRPr="00DB0E20">
        <w:rPr>
          <w:szCs w:val="24"/>
        </w:rPr>
        <w:t>y</w:t>
      </w:r>
      <w:r w:rsidRPr="00DB0E20">
        <w:rPr>
          <w:szCs w:val="24"/>
        </w:rPr>
        <w:t>relsesmøderne</w:t>
      </w:r>
      <w:r w:rsidR="00F23F30">
        <w:rPr>
          <w:szCs w:val="24"/>
        </w:rPr>
        <w:t>s</w:t>
      </w:r>
      <w:r w:rsidRPr="00DB0E20">
        <w:rPr>
          <w:szCs w:val="24"/>
        </w:rPr>
        <w:t xml:space="preserve"> drøftelser og beslutninger. </w:t>
      </w:r>
    </w:p>
    <w:p w:rsidR="0068044C" w:rsidRPr="008907D3" w:rsidRDefault="0068044C" w:rsidP="008907D3">
      <w:pPr>
        <w:rPr>
          <w:szCs w:val="24"/>
        </w:rPr>
      </w:pPr>
    </w:p>
    <w:p w:rsidR="00DB0E20" w:rsidRPr="00DB0E20" w:rsidRDefault="00DB0E20" w:rsidP="00DB0E20">
      <w:pPr>
        <w:rPr>
          <w:szCs w:val="24"/>
        </w:rPr>
      </w:pPr>
      <w:r w:rsidRPr="00DB0E20">
        <w:rPr>
          <w:szCs w:val="24"/>
        </w:rPr>
        <w:t xml:space="preserve">Finanstilsynet </w:t>
      </w:r>
      <w:r w:rsidR="0068044C" w:rsidRPr="0068044C">
        <w:rPr>
          <w:szCs w:val="24"/>
        </w:rPr>
        <w:t xml:space="preserve">gav </w:t>
      </w:r>
      <w:r w:rsidR="00C5054F">
        <w:rPr>
          <w:szCs w:val="24"/>
        </w:rPr>
        <w:t>desuden</w:t>
      </w:r>
      <w:r w:rsidRPr="00DB0E20">
        <w:rPr>
          <w:szCs w:val="24"/>
        </w:rPr>
        <w:t xml:space="preserve"> en række påbud om at opdatere og ændre sp</w:t>
      </w:r>
      <w:r w:rsidRPr="00DB0E20">
        <w:rPr>
          <w:szCs w:val="24"/>
        </w:rPr>
        <w:t>a</w:t>
      </w:r>
      <w:r w:rsidRPr="00DB0E20">
        <w:rPr>
          <w:szCs w:val="24"/>
        </w:rPr>
        <w:t>reka</w:t>
      </w:r>
      <w:r w:rsidR="00780633">
        <w:rPr>
          <w:szCs w:val="24"/>
        </w:rPr>
        <w:t>ssens skriftlige retningslinjer</w:t>
      </w:r>
      <w:r w:rsidRPr="00DB0E20">
        <w:rPr>
          <w:szCs w:val="24"/>
        </w:rPr>
        <w:t xml:space="preserve">. </w:t>
      </w:r>
    </w:p>
    <w:p w:rsidR="00567CAD" w:rsidRDefault="00567CAD" w:rsidP="008907D3">
      <w:pPr>
        <w:rPr>
          <w:szCs w:val="24"/>
        </w:rPr>
      </w:pPr>
    </w:p>
    <w:p w:rsidR="00B566B6" w:rsidRPr="00B566B6" w:rsidRDefault="00B566B6" w:rsidP="00B566B6">
      <w:pPr>
        <w:rPr>
          <w:szCs w:val="24"/>
        </w:rPr>
      </w:pPr>
      <w:r w:rsidRPr="00B566B6">
        <w:rPr>
          <w:szCs w:val="24"/>
        </w:rPr>
        <w:t xml:space="preserve">Endeligt </w:t>
      </w:r>
      <w:r w:rsidR="00F23F30">
        <w:rPr>
          <w:szCs w:val="24"/>
        </w:rPr>
        <w:t xml:space="preserve">gav Finanstilsynet </w:t>
      </w:r>
      <w:r w:rsidRPr="00B566B6">
        <w:rPr>
          <w:szCs w:val="24"/>
        </w:rPr>
        <w:t>en risikooplysning om, at sparekassen bør udv</w:t>
      </w:r>
      <w:r w:rsidRPr="00B566B6">
        <w:rPr>
          <w:szCs w:val="24"/>
        </w:rPr>
        <w:t>i</w:t>
      </w:r>
      <w:r w:rsidRPr="00B566B6">
        <w:rPr>
          <w:szCs w:val="24"/>
        </w:rPr>
        <w:t xml:space="preserve">se særlig forsigtighed i forhold til en række </w:t>
      </w:r>
      <w:r>
        <w:rPr>
          <w:szCs w:val="24"/>
        </w:rPr>
        <w:t xml:space="preserve">særligt </w:t>
      </w:r>
      <w:r w:rsidRPr="00B566B6">
        <w:rPr>
          <w:szCs w:val="24"/>
        </w:rPr>
        <w:t>økonomisk udfordrede kunder, som sparekassen har overtaget i forbindelse med sammenlægni</w:t>
      </w:r>
      <w:r w:rsidRPr="00B566B6">
        <w:rPr>
          <w:szCs w:val="24"/>
        </w:rPr>
        <w:t>n</w:t>
      </w:r>
      <w:r w:rsidRPr="00B566B6">
        <w:rPr>
          <w:szCs w:val="24"/>
        </w:rPr>
        <w:t>gen med Helgenæs Sparekasse.</w:t>
      </w:r>
    </w:p>
    <w:p w:rsidR="0068044C" w:rsidRDefault="0068044C" w:rsidP="008907D3">
      <w:pPr>
        <w:rPr>
          <w:szCs w:val="24"/>
        </w:rPr>
      </w:pPr>
    </w:p>
    <w:p w:rsidR="00013A95" w:rsidRPr="00013A95" w:rsidRDefault="00013A95" w:rsidP="00013A95">
      <w:r w:rsidRPr="00013A95">
        <w:t>Sparekassen havde inden undersøgelsen opgjort sit individuelle solvensb</w:t>
      </w:r>
      <w:r w:rsidRPr="00013A95">
        <w:t>e</w:t>
      </w:r>
      <w:r w:rsidRPr="00013A95">
        <w:t>hov til 14,9 pct., mens den faktiske solvens var opgjort til 23,9 pct. Spar</w:t>
      </w:r>
      <w:r w:rsidRPr="00013A95">
        <w:t>e</w:t>
      </w:r>
      <w:r w:rsidRPr="00013A95">
        <w:t>kassen har efterfølgende opgjort solvensbehovet til 16,2 pct., hvilket Finan</w:t>
      </w:r>
      <w:r w:rsidRPr="00013A95">
        <w:t>s</w:t>
      </w:r>
      <w:r w:rsidRPr="00013A95">
        <w:t>tilsynet finder er tilstrækkeligt. Efter de yderligere nedskrivninger på spar</w:t>
      </w:r>
      <w:r w:rsidRPr="00013A95">
        <w:t>e</w:t>
      </w:r>
      <w:r w:rsidRPr="00013A95">
        <w:t>kassens ejendomme og engagementer, som er affødt af undersøgelsen, vil sparekassen faktiske solvens kunne opgøres til ca. 23,3 pct.</w:t>
      </w:r>
    </w:p>
    <w:p w:rsidR="00494FB5" w:rsidRPr="008907D3" w:rsidRDefault="00494FB5" w:rsidP="008907D3">
      <w:pPr>
        <w:rPr>
          <w:szCs w:val="24"/>
        </w:rPr>
      </w:pPr>
    </w:p>
    <w:p w:rsidR="00124DF6" w:rsidRDefault="00124DF6" w:rsidP="005E3870"/>
    <w:sectPr w:rsidR="00124DF6" w:rsidSect="002779D0">
      <w:headerReference w:type="default" r:id="rId9"/>
      <w:headerReference w:type="first" r:id="rId10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E" w:rsidRDefault="00B2482E">
      <w:pPr>
        <w:spacing w:line="240" w:lineRule="auto"/>
      </w:pPr>
      <w:r>
        <w:separator/>
      </w:r>
    </w:p>
  </w:endnote>
  <w:endnote w:type="continuationSeparator" w:id="0">
    <w:p w:rsidR="00B2482E" w:rsidRDefault="00B24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E" w:rsidRDefault="00B2482E">
      <w:pPr>
        <w:spacing w:line="240" w:lineRule="auto"/>
      </w:pPr>
      <w:r>
        <w:separator/>
      </w:r>
    </w:p>
  </w:footnote>
  <w:footnote w:type="continuationSeparator" w:id="0">
    <w:p w:rsidR="00B2482E" w:rsidRDefault="00B24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C0" w:rsidRDefault="00AE67C0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44EA7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444EA7">
      <w:rPr>
        <w:rStyle w:val="Sidetal"/>
        <w:noProof/>
      </w:rPr>
      <w:t>2</w:t>
    </w:r>
    <w:r>
      <w:rPr>
        <w:rStyle w:val="Sidetal"/>
      </w:rPr>
      <w:fldChar w:fldCharType="end"/>
    </w:r>
  </w:p>
  <w:p w:rsidR="00AE67C0" w:rsidRDefault="00AE67C0">
    <w:pPr>
      <w:framePr w:w="1531" w:h="851" w:wrap="around" w:vAnchor="page" w:hAnchor="page" w:x="9186" w:y="721"/>
    </w:pPr>
  </w:p>
  <w:p w:rsidR="00AE67C0" w:rsidRDefault="00AE67C0">
    <w:pPr>
      <w:framePr w:w="1531" w:h="851" w:wrap="around" w:vAnchor="page" w:hAnchor="page" w:x="9186" w:y="721"/>
    </w:pPr>
  </w:p>
  <w:p w:rsidR="00AE67C0" w:rsidRDefault="00AE67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C0" w:rsidRDefault="00AE67C0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8225C"/>
    <w:multiLevelType w:val="hybridMultilevel"/>
    <w:tmpl w:val="EE56D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AD18DB"/>
    <w:rsid w:val="00013A95"/>
    <w:rsid w:val="00020C05"/>
    <w:rsid w:val="0002744C"/>
    <w:rsid w:val="000467E2"/>
    <w:rsid w:val="000750CB"/>
    <w:rsid w:val="000A3975"/>
    <w:rsid w:val="000C0183"/>
    <w:rsid w:val="000C13A3"/>
    <w:rsid w:val="000D79BC"/>
    <w:rsid w:val="000F2BC2"/>
    <w:rsid w:val="000F3AD9"/>
    <w:rsid w:val="00106987"/>
    <w:rsid w:val="00107FA2"/>
    <w:rsid w:val="00120388"/>
    <w:rsid w:val="00124DF6"/>
    <w:rsid w:val="001268D5"/>
    <w:rsid w:val="001456A1"/>
    <w:rsid w:val="001544E9"/>
    <w:rsid w:val="00163A8D"/>
    <w:rsid w:val="00164D41"/>
    <w:rsid w:val="00167629"/>
    <w:rsid w:val="001825C6"/>
    <w:rsid w:val="00195FE7"/>
    <w:rsid w:val="00197575"/>
    <w:rsid w:val="001A5C7D"/>
    <w:rsid w:val="001B6966"/>
    <w:rsid w:val="001E4A6B"/>
    <w:rsid w:val="001F0592"/>
    <w:rsid w:val="0020257A"/>
    <w:rsid w:val="00221F2F"/>
    <w:rsid w:val="00222BA5"/>
    <w:rsid w:val="00230D73"/>
    <w:rsid w:val="00256202"/>
    <w:rsid w:val="00260676"/>
    <w:rsid w:val="002779D0"/>
    <w:rsid w:val="00280375"/>
    <w:rsid w:val="002A499B"/>
    <w:rsid w:val="002D2942"/>
    <w:rsid w:val="002E6F9A"/>
    <w:rsid w:val="002F13A8"/>
    <w:rsid w:val="00305117"/>
    <w:rsid w:val="00331EDD"/>
    <w:rsid w:val="00361B5C"/>
    <w:rsid w:val="003771BF"/>
    <w:rsid w:val="0038233E"/>
    <w:rsid w:val="00384D49"/>
    <w:rsid w:val="003B0C19"/>
    <w:rsid w:val="003C13F8"/>
    <w:rsid w:val="003C7790"/>
    <w:rsid w:val="003D12EA"/>
    <w:rsid w:val="003E3B9B"/>
    <w:rsid w:val="003E4349"/>
    <w:rsid w:val="003E4CBD"/>
    <w:rsid w:val="0044286B"/>
    <w:rsid w:val="00444EA7"/>
    <w:rsid w:val="0045004C"/>
    <w:rsid w:val="004558EF"/>
    <w:rsid w:val="004720CC"/>
    <w:rsid w:val="004777C3"/>
    <w:rsid w:val="00481B67"/>
    <w:rsid w:val="00487B16"/>
    <w:rsid w:val="00494FB5"/>
    <w:rsid w:val="004C633B"/>
    <w:rsid w:val="004D585B"/>
    <w:rsid w:val="004F52E4"/>
    <w:rsid w:val="004F5330"/>
    <w:rsid w:val="005439BC"/>
    <w:rsid w:val="005461F8"/>
    <w:rsid w:val="00561BB7"/>
    <w:rsid w:val="00567CAD"/>
    <w:rsid w:val="00574212"/>
    <w:rsid w:val="00586C74"/>
    <w:rsid w:val="005A51BB"/>
    <w:rsid w:val="005E3870"/>
    <w:rsid w:val="005F1153"/>
    <w:rsid w:val="005F36D0"/>
    <w:rsid w:val="005F382A"/>
    <w:rsid w:val="00607011"/>
    <w:rsid w:val="006243FD"/>
    <w:rsid w:val="006274A7"/>
    <w:rsid w:val="00636E8B"/>
    <w:rsid w:val="0063728A"/>
    <w:rsid w:val="0063776B"/>
    <w:rsid w:val="00644F70"/>
    <w:rsid w:val="006456DD"/>
    <w:rsid w:val="006556C1"/>
    <w:rsid w:val="006724DD"/>
    <w:rsid w:val="0068044C"/>
    <w:rsid w:val="006B1911"/>
    <w:rsid w:val="006B38CE"/>
    <w:rsid w:val="006C3314"/>
    <w:rsid w:val="006C7261"/>
    <w:rsid w:val="006F510B"/>
    <w:rsid w:val="00700253"/>
    <w:rsid w:val="00703E18"/>
    <w:rsid w:val="00714040"/>
    <w:rsid w:val="007507F4"/>
    <w:rsid w:val="007673DA"/>
    <w:rsid w:val="00780633"/>
    <w:rsid w:val="007824FA"/>
    <w:rsid w:val="007830E0"/>
    <w:rsid w:val="007A1D27"/>
    <w:rsid w:val="007A2718"/>
    <w:rsid w:val="007A65C3"/>
    <w:rsid w:val="007B10D1"/>
    <w:rsid w:val="007B5E61"/>
    <w:rsid w:val="007C240B"/>
    <w:rsid w:val="007E5F37"/>
    <w:rsid w:val="007F4F32"/>
    <w:rsid w:val="008005A2"/>
    <w:rsid w:val="00832777"/>
    <w:rsid w:val="0083776A"/>
    <w:rsid w:val="0084704C"/>
    <w:rsid w:val="008907D3"/>
    <w:rsid w:val="008B4D36"/>
    <w:rsid w:val="008C56A4"/>
    <w:rsid w:val="008C77CD"/>
    <w:rsid w:val="008E4549"/>
    <w:rsid w:val="00904F2B"/>
    <w:rsid w:val="00907B69"/>
    <w:rsid w:val="00911391"/>
    <w:rsid w:val="009245E9"/>
    <w:rsid w:val="009275E9"/>
    <w:rsid w:val="00935F3B"/>
    <w:rsid w:val="00961638"/>
    <w:rsid w:val="009846B1"/>
    <w:rsid w:val="009A6682"/>
    <w:rsid w:val="009C35C9"/>
    <w:rsid w:val="009C70F7"/>
    <w:rsid w:val="00A01813"/>
    <w:rsid w:val="00A07D01"/>
    <w:rsid w:val="00A123FB"/>
    <w:rsid w:val="00A30B33"/>
    <w:rsid w:val="00A44CF5"/>
    <w:rsid w:val="00A73EAC"/>
    <w:rsid w:val="00A949D0"/>
    <w:rsid w:val="00AA0507"/>
    <w:rsid w:val="00AA0BF7"/>
    <w:rsid w:val="00AA185B"/>
    <w:rsid w:val="00AB0320"/>
    <w:rsid w:val="00AC5F88"/>
    <w:rsid w:val="00AD18DB"/>
    <w:rsid w:val="00AD39BE"/>
    <w:rsid w:val="00AE6236"/>
    <w:rsid w:val="00AE67C0"/>
    <w:rsid w:val="00B23B9D"/>
    <w:rsid w:val="00B2482E"/>
    <w:rsid w:val="00B566B6"/>
    <w:rsid w:val="00B57A46"/>
    <w:rsid w:val="00B80BCA"/>
    <w:rsid w:val="00BA2345"/>
    <w:rsid w:val="00BB1B67"/>
    <w:rsid w:val="00BB3590"/>
    <w:rsid w:val="00BE02D4"/>
    <w:rsid w:val="00BF0250"/>
    <w:rsid w:val="00BF501F"/>
    <w:rsid w:val="00C12726"/>
    <w:rsid w:val="00C12CE0"/>
    <w:rsid w:val="00C14282"/>
    <w:rsid w:val="00C5054F"/>
    <w:rsid w:val="00C5465E"/>
    <w:rsid w:val="00C60395"/>
    <w:rsid w:val="00C61A5D"/>
    <w:rsid w:val="00C66692"/>
    <w:rsid w:val="00C94721"/>
    <w:rsid w:val="00C96853"/>
    <w:rsid w:val="00CB1102"/>
    <w:rsid w:val="00CC13E6"/>
    <w:rsid w:val="00CC2C58"/>
    <w:rsid w:val="00CC63C0"/>
    <w:rsid w:val="00CD5C1F"/>
    <w:rsid w:val="00CE0BD7"/>
    <w:rsid w:val="00CE1919"/>
    <w:rsid w:val="00CF4780"/>
    <w:rsid w:val="00D20C3F"/>
    <w:rsid w:val="00D22D6F"/>
    <w:rsid w:val="00D67CB5"/>
    <w:rsid w:val="00D94180"/>
    <w:rsid w:val="00D963EF"/>
    <w:rsid w:val="00D973A9"/>
    <w:rsid w:val="00DB0E20"/>
    <w:rsid w:val="00DB1666"/>
    <w:rsid w:val="00E21BEA"/>
    <w:rsid w:val="00E23F8D"/>
    <w:rsid w:val="00E2456A"/>
    <w:rsid w:val="00E34E1B"/>
    <w:rsid w:val="00E44632"/>
    <w:rsid w:val="00E44B59"/>
    <w:rsid w:val="00E45839"/>
    <w:rsid w:val="00E550D4"/>
    <w:rsid w:val="00E6310B"/>
    <w:rsid w:val="00E821C4"/>
    <w:rsid w:val="00E9430B"/>
    <w:rsid w:val="00EB134F"/>
    <w:rsid w:val="00EC3FFA"/>
    <w:rsid w:val="00EC5754"/>
    <w:rsid w:val="00ED39FC"/>
    <w:rsid w:val="00EE0603"/>
    <w:rsid w:val="00EE35D8"/>
    <w:rsid w:val="00F17F2E"/>
    <w:rsid w:val="00F23F30"/>
    <w:rsid w:val="00F41DD3"/>
    <w:rsid w:val="00F924F2"/>
    <w:rsid w:val="00FD35D3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82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E67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67C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67C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67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67C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82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E67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67C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67C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67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67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4034-B80F-4836-B5D7-B1DFB0A2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2</Pages>
  <Words>463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</dc:creator>
  <cp:lastModifiedBy>Gudumlund, Helle</cp:lastModifiedBy>
  <cp:revision>2</cp:revision>
  <cp:lastPrinted>2014-01-23T14:55:00Z</cp:lastPrinted>
  <dcterms:created xsi:type="dcterms:W3CDTF">2019-05-24T11:11:00Z</dcterms:created>
  <dcterms:modified xsi:type="dcterms:W3CDTF">2019-05-24T11:11:00Z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12. december 2012</vt:lpwstr>
  </property>
  <property fmtid="{D5CDD505-2E9C-101B-9397-08002B2CF9AE}" pid="7" name="PJournalNr">
    <vt:lpwstr/>
  </property>
  <property fmtid="{D5CDD505-2E9C-101B-9397-08002B2CF9AE}" pid="8" name="PEmne">
    <vt:lpwstr>Redegørelse om inspektion i Folkesparekassen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jee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